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6A656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ab/>
      </w:r>
      <w:r w:rsidRPr="00F30816">
        <w:rPr>
          <w:rFonts w:cs="Times New Roman"/>
        </w:rPr>
        <w:tab/>
      </w:r>
      <w:r w:rsidRPr="00F30816">
        <w:rPr>
          <w:rFonts w:cs="Times New Roman"/>
        </w:rPr>
        <w:tab/>
      </w:r>
      <w:r w:rsidRPr="00F30816">
        <w:rPr>
          <w:rFonts w:cs="Times New Roman"/>
        </w:rPr>
        <w:tab/>
      </w:r>
      <w:r w:rsidRPr="00F30816">
        <w:rPr>
          <w:rFonts w:cs="Times New Roman"/>
        </w:rPr>
        <w:tab/>
      </w:r>
      <w:r w:rsidRPr="00F30816">
        <w:rPr>
          <w:rFonts w:cs="Times New Roman"/>
        </w:rPr>
        <w:tab/>
      </w:r>
      <w:r w:rsidRPr="00F30816">
        <w:rPr>
          <w:rFonts w:cs="Times New Roman"/>
        </w:rPr>
        <w:tab/>
      </w:r>
      <w:r w:rsidRPr="00F30816">
        <w:rPr>
          <w:rFonts w:cs="Times New Roman"/>
        </w:rPr>
        <w:tab/>
      </w:r>
      <w:r w:rsidRPr="00F30816">
        <w:rPr>
          <w:rFonts w:cs="Times New Roman"/>
        </w:rPr>
        <w:tab/>
      </w:r>
      <w:r w:rsidRPr="00F30816">
        <w:rPr>
          <w:rFonts w:cs="Times New Roman"/>
        </w:rPr>
        <w:tab/>
        <w:t>File: GBGA</w:t>
      </w:r>
    </w:p>
    <w:p w14:paraId="4867E997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579101C" w14:textId="77777777" w:rsidR="00F30816" w:rsidRPr="00F30816" w:rsidRDefault="00F30816" w:rsidP="00F308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30816">
        <w:rPr>
          <w:rFonts w:cs="Times New Roman"/>
        </w:rPr>
        <w:t>Staff Health</w:t>
      </w:r>
    </w:p>
    <w:p w14:paraId="206BF33E" w14:textId="77777777" w:rsidR="00F30816" w:rsidRDefault="00F30816" w:rsidP="00F308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30816">
        <w:rPr>
          <w:rFonts w:cs="Times New Roman"/>
        </w:rPr>
        <w:t>(And Physical and Mental Health Examination Requirements)</w:t>
      </w:r>
    </w:p>
    <w:p w14:paraId="685F48AB" w14:textId="77777777" w:rsidR="00F30816" w:rsidRPr="00F30816" w:rsidRDefault="00F30816" w:rsidP="00F3081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2A73BC56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Through its overall safety program and various policies pertaining to BOCES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personnel, the Board shall seek to ensure the safety of employees during working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hours and assist them in the maintenance of good health. It shall encourage all its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employees to maintain good health and practice good health habits.</w:t>
      </w:r>
    </w:p>
    <w:p w14:paraId="350CFE84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8CEE89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Under the following circumstances, the Board may require physical examinations of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its employees or applicants for employment. The BOCES shall pay for all such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physical examinations. Results of such physical examinations shall be maintained in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separate medical files and not in the employee’s personnel file and may be released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only in limited circumstances.</w:t>
      </w:r>
    </w:p>
    <w:p w14:paraId="0FA7DCC8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5CDA46C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F30816">
        <w:rPr>
          <w:rFonts w:cs="Times New Roman"/>
          <w:b/>
        </w:rPr>
        <w:t>Routine physical examinations</w:t>
      </w:r>
    </w:p>
    <w:p w14:paraId="2D298CD1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E0BEFA4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Subsequent to a conditional offer of employment and prior to commencement of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work, the BOCES may require an applicant to have a medical examination and to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meet any other health requirements that may be imposed by the state. The BOCES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may condition an offer of employment on the results of such examination if all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entering employees in the applicable job category are subject to such examination. A</w:t>
      </w:r>
    </w:p>
    <w:p w14:paraId="1AF52585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30-day grace period may be allowed if approved by the executive director.</w:t>
      </w:r>
    </w:p>
    <w:p w14:paraId="49AD28F8" w14:textId="77777777" w:rsidR="0065762C" w:rsidRDefault="0065762C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09A124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All bus drivers, including full-time, part-time or tempo</w:t>
      </w:r>
      <w:r>
        <w:rPr>
          <w:rFonts w:cs="Times New Roman"/>
        </w:rPr>
        <w:t xml:space="preserve">rary, shall be required to have </w:t>
      </w:r>
      <w:r w:rsidRPr="00F30816">
        <w:rPr>
          <w:rFonts w:cs="Times New Roman"/>
        </w:rPr>
        <w:t>a physical examination once every two years to obtain or renew an operator's</w:t>
      </w:r>
      <w:r>
        <w:rPr>
          <w:rFonts w:cs="Times New Roman"/>
        </w:rPr>
        <w:t xml:space="preserve"> permit.</w:t>
      </w:r>
    </w:p>
    <w:p w14:paraId="73779CE5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CAED95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F30816">
        <w:rPr>
          <w:rFonts w:cs="Times New Roman"/>
          <w:b/>
        </w:rPr>
        <w:t>Special examinations</w:t>
      </w:r>
    </w:p>
    <w:p w14:paraId="5A0958A6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339ACB3F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The Board recognizes that an individual's medical diagnosis is privileged information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between the patient and medical professionals. However, whenever a staff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member's medical condition is such that it interferes with the ability to perform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required duties or there is an unacceptable risk to the health and safety of the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employee or others, the BOCES shall take necessary steps to evaluate the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employee's condition and make appropriate employment decisions.</w:t>
      </w:r>
    </w:p>
    <w:p w14:paraId="5473FBCA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8F4E4D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The BOCES may request physical examinations and/or mental health examinations</w:t>
      </w:r>
    </w:p>
    <w:p w14:paraId="14BB9241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F30816">
        <w:rPr>
          <w:rFonts w:cs="Times New Roman"/>
        </w:rPr>
        <w:t>of</w:t>
      </w:r>
      <w:proofErr w:type="gramEnd"/>
      <w:r w:rsidRPr="00F30816">
        <w:rPr>
          <w:rFonts w:cs="Times New Roman"/>
        </w:rPr>
        <w:t xml:space="preserve"> any employee at any time to determine if the employee has a physical and/or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mental condition, disease or illness which may interfere with the employee’s ability to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perform required duties or which may pose an unacceptable risk to the health, safety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or welfare of the employee or others. The BOCES shall select the medical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professional to conduct such examination and shall pay the costs associated with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such examination.</w:t>
      </w:r>
    </w:p>
    <w:p w14:paraId="7AE67684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5DA66A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lastRenderedPageBreak/>
        <w:t>When the employee cannot perform the essential functions of the job with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reasonable accommodation, or medical evidence establishes that the employee’s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condition poses a significant risk to the health, safety or welfare of the employee or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others, the BOCES may suspend and/or terminate the employee in accordance with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applicable policies and regulations and applicable law.</w:t>
      </w:r>
    </w:p>
    <w:p w14:paraId="01C62DDE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DA4CC8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proofErr w:type="gramStart"/>
      <w:r w:rsidRPr="00F30816">
        <w:rPr>
          <w:rFonts w:cs="Times New Roman"/>
          <w:b/>
        </w:rPr>
        <w:t>Readily-transmitted</w:t>
      </w:r>
      <w:proofErr w:type="gramEnd"/>
      <w:r w:rsidRPr="00F30816">
        <w:rPr>
          <w:rFonts w:cs="Times New Roman"/>
          <w:b/>
        </w:rPr>
        <w:t xml:space="preserve"> communicable diseases</w:t>
      </w:r>
    </w:p>
    <w:p w14:paraId="13C051CE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540EF858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An employee with an acute, common communicable disease shall not report to work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during the period of time when contagious/infectious. The BOCES reserves the right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to require a physician's statement prior to the employee's return to work.</w:t>
      </w:r>
    </w:p>
    <w:p w14:paraId="5D5A1DC3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An employee diagnosed with a serious, readily transmissible disease or condition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shall be encouraged to report the existence of the condition or illness in case there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are precautions that must be taken to protect the health of others.</w:t>
      </w:r>
    </w:p>
    <w:p w14:paraId="65349ADA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25954F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F30816">
        <w:rPr>
          <w:rFonts w:cs="Times New Roman"/>
          <w:b/>
        </w:rPr>
        <w:t>Confidentiality</w:t>
      </w:r>
    </w:p>
    <w:p w14:paraId="72DDB1B1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3DF6C3C5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In all instances, BOCES personnel shall respect the individual's right to privacy and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treat any information regarding the medical condition or medical history of an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employee or applicant as confidential information. Any BOCES employee who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violates confidentiality shall be subject to appropriate disciplinary measures.</w:t>
      </w:r>
    </w:p>
    <w:p w14:paraId="3EC128C5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45DCFE" w14:textId="77F030D9" w:rsidR="00F30816" w:rsidRPr="00F30816" w:rsidRDefault="00A3355B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7A3BC46D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EB86BA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LEGAL REFS</w:t>
      </w:r>
      <w:proofErr w:type="gramStart"/>
      <w:r w:rsidRPr="00F30816">
        <w:rPr>
          <w:rFonts w:cs="Times New Roman"/>
        </w:rPr>
        <w:t>.:</w:t>
      </w:r>
      <w:proofErr w:type="gramEnd"/>
      <w:r w:rsidRPr="00F30816">
        <w:rPr>
          <w:rFonts w:cs="Times New Roman"/>
        </w:rPr>
        <w:t xml:space="preserve"> 29 U.S.C. 794 (1983) (Section 504 of the Rehabilitation Act)</w:t>
      </w:r>
    </w:p>
    <w:p w14:paraId="239C7499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42 U.S.C. 12101 et seq. (Americans with Disabilities Act)</w:t>
      </w:r>
    </w:p>
    <w:p w14:paraId="4431E20E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C.R.S. 8-2-118 (employer must bear cost of medical exam)</w:t>
      </w:r>
    </w:p>
    <w:p w14:paraId="48BA1012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 xml:space="preserve">C.R.S. 22-32-110 (1)(k) (board’s power to adopt policy related to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safety,</w:t>
      </w:r>
      <w:r>
        <w:rPr>
          <w:rFonts w:cs="Times New Roman"/>
        </w:rPr>
        <w:t xml:space="preserve"> </w:t>
      </w:r>
      <w:r w:rsidRPr="00F30816">
        <w:rPr>
          <w:rFonts w:cs="Times New Roman"/>
        </w:rPr>
        <w:t>conduct and welfare of employees)</w:t>
      </w:r>
    </w:p>
    <w:p w14:paraId="25076C57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 xml:space="preserve">C.R.S. 24-34-401 et seq. (discriminatory or unfair employment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practices)</w:t>
      </w:r>
    </w:p>
    <w:p w14:paraId="28D40B5E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C.R.S. 25-4-101 et seq. (disease control and sanitary regulations)</w:t>
      </w:r>
    </w:p>
    <w:p w14:paraId="69C4CCBE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1 CCR 301-26, Rules 4204-R-201 (regulations regarding operation of</w:t>
      </w:r>
    </w:p>
    <w:p w14:paraId="3DEF8CAF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 w:rsidRPr="00F30816">
        <w:rPr>
          <w:rFonts w:cs="Times New Roman"/>
        </w:rPr>
        <w:t>school</w:t>
      </w:r>
      <w:proofErr w:type="gramEnd"/>
      <w:r w:rsidRPr="00F30816">
        <w:rPr>
          <w:rFonts w:cs="Times New Roman"/>
        </w:rPr>
        <w:t xml:space="preserve"> transportation vehicles; requirement of physical exam every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two years)</w:t>
      </w:r>
    </w:p>
    <w:p w14:paraId="29F4F27D" w14:textId="77777777" w:rsid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50761E1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 w:rsidRPr="00F30816">
        <w:rPr>
          <w:rFonts w:cs="Times New Roman"/>
        </w:rPr>
        <w:t>CROSS REFS</w:t>
      </w:r>
      <w:proofErr w:type="gramStart"/>
      <w:r w:rsidRPr="00F30816">
        <w:rPr>
          <w:rFonts w:cs="Times New Roman"/>
        </w:rPr>
        <w:t>.:</w:t>
      </w:r>
      <w:proofErr w:type="gramEnd"/>
      <w:r w:rsidRPr="00F30816">
        <w:rPr>
          <w:rFonts w:cs="Times New Roman"/>
        </w:rPr>
        <w:t xml:space="preserve"> EBBA,  Prevention of Disease/Infection Transmission</w:t>
      </w:r>
    </w:p>
    <w:p w14:paraId="7742BE9D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GBA</w:t>
      </w:r>
      <w:proofErr w:type="gramStart"/>
      <w:r w:rsidRPr="00F30816">
        <w:rPr>
          <w:rFonts w:cs="Times New Roman"/>
        </w:rPr>
        <w:t>,  Open</w:t>
      </w:r>
      <w:proofErr w:type="gramEnd"/>
      <w:r w:rsidRPr="00F30816">
        <w:rPr>
          <w:rFonts w:cs="Times New Roman"/>
        </w:rPr>
        <w:t xml:space="preserve"> Hiring/Equal Employment Opportunity</w:t>
      </w:r>
    </w:p>
    <w:p w14:paraId="569790FC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GBJ</w:t>
      </w:r>
      <w:proofErr w:type="gramStart"/>
      <w:r w:rsidRPr="00F30816">
        <w:rPr>
          <w:rFonts w:cs="Times New Roman"/>
        </w:rPr>
        <w:t>,  Personnel</w:t>
      </w:r>
      <w:proofErr w:type="gramEnd"/>
      <w:r w:rsidRPr="00F30816">
        <w:rPr>
          <w:rFonts w:cs="Times New Roman"/>
        </w:rPr>
        <w:t xml:space="preserve"> Records and Files</w:t>
      </w:r>
    </w:p>
    <w:p w14:paraId="0FA1E872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GBGG</w:t>
      </w:r>
      <w:proofErr w:type="gramStart"/>
      <w:r w:rsidRPr="00F30816">
        <w:rPr>
          <w:rFonts w:cs="Times New Roman"/>
        </w:rPr>
        <w:t>,  Staff</w:t>
      </w:r>
      <w:proofErr w:type="gramEnd"/>
      <w:r w:rsidRPr="00F30816">
        <w:rPr>
          <w:rFonts w:cs="Times New Roman"/>
        </w:rPr>
        <w:t xml:space="preserve"> Sick Leave</w:t>
      </w:r>
    </w:p>
    <w:p w14:paraId="515F092C" w14:textId="77777777" w:rsidR="00F30816" w:rsidRPr="00F30816" w:rsidRDefault="00F30816" w:rsidP="00F3081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GCQF</w:t>
      </w:r>
      <w:proofErr w:type="gramStart"/>
      <w:r w:rsidRPr="00F30816">
        <w:rPr>
          <w:rFonts w:cs="Times New Roman"/>
        </w:rPr>
        <w:t>,  Discipline</w:t>
      </w:r>
      <w:proofErr w:type="gramEnd"/>
      <w:r w:rsidRPr="00F30816">
        <w:rPr>
          <w:rFonts w:cs="Times New Roman"/>
        </w:rPr>
        <w:t>, Suspension and Dismissal of Professional Staff</w:t>
      </w:r>
    </w:p>
    <w:p w14:paraId="45EFB9D2" w14:textId="77777777" w:rsidR="003063AA" w:rsidRPr="00F30816" w:rsidRDefault="00F30816" w:rsidP="00F30816">
      <w:r>
        <w:rPr>
          <w:rFonts w:cs="Times New Roman"/>
        </w:rPr>
        <w:tab/>
      </w:r>
      <w:r>
        <w:rPr>
          <w:rFonts w:cs="Times New Roman"/>
        </w:rPr>
        <w:tab/>
      </w:r>
      <w:r w:rsidRPr="00F30816">
        <w:rPr>
          <w:rFonts w:cs="Times New Roman"/>
        </w:rPr>
        <w:t>GDQD,  Discipline, Suspension and Dismissal of Support Staff</w:t>
      </w:r>
    </w:p>
    <w:sectPr w:rsidR="003063AA" w:rsidRPr="00F30816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6"/>
    <w:rsid w:val="003063AA"/>
    <w:rsid w:val="0065762C"/>
    <w:rsid w:val="00A3355B"/>
    <w:rsid w:val="00F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26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685</Words>
  <Characters>3909</Characters>
  <Application>Microsoft Macintosh Word</Application>
  <DocSecurity>0</DocSecurity>
  <Lines>32</Lines>
  <Paragraphs>9</Paragraphs>
  <ScaleCrop>false</ScaleCrop>
  <Company>San Luis Valley BOCES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2015-01-25T21:14:00Z</dcterms:created>
  <dcterms:modified xsi:type="dcterms:W3CDTF">2017-01-21T21:25:00Z</dcterms:modified>
</cp:coreProperties>
</file>